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mallCaps/>
          <w:sz w:val="20"/>
          <w:szCs w:val="20"/>
          <w:lang w:eastAsia="bg-BG"/>
        </w:rPr>
        <w:t>Харта на основните права на Европейския съюз</w:t>
      </w:r>
      <w:r>
        <w:rPr>
          <w:rFonts w:ascii="Times New Roman" w:eastAsia="Times New Roman" w:hAnsi="Times New Roman" w:cs="Times New Roman"/>
          <w:sz w:val="20"/>
          <w:szCs w:val="20"/>
          <w:lang w:val="en-US" w:eastAsia="bg-BG"/>
        </w:rPr>
        <w:t xml:space="preserve">  </w:t>
      </w:r>
      <w:r w:rsidRPr="009D563E">
        <w:rPr>
          <w:rFonts w:ascii="Times New Roman" w:eastAsia="Times New Roman" w:hAnsi="Times New Roman" w:cs="Times New Roman"/>
          <w:sz w:val="20"/>
          <w:szCs w:val="20"/>
          <w:lang w:eastAsia="bg-BG"/>
        </w:rPr>
        <w:t>(2007/C 303/01)</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Европейският парламент, Съветът и Комисията тържествено прогласяват следния текст като Харта на основните права.</w:t>
      </w:r>
    </w:p>
    <w:p w:rsidR="009D563E" w:rsidRPr="009D563E" w:rsidRDefault="009D563E" w:rsidP="009D563E">
      <w:pPr>
        <w:spacing w:after="0" w:line="240" w:lineRule="auto"/>
        <w:jc w:val="center"/>
        <w:rPr>
          <w:rFonts w:ascii="Times New Roman" w:eastAsia="Times New Roman" w:hAnsi="Times New Roman" w:cs="Times New Roman"/>
          <w:sz w:val="28"/>
          <w:szCs w:val="28"/>
          <w:lang w:eastAsia="bg-BG"/>
        </w:rPr>
      </w:pPr>
      <w:r w:rsidRPr="009D563E">
        <w:rPr>
          <w:rFonts w:ascii="Times New Roman" w:eastAsia="Times New Roman" w:hAnsi="Times New Roman" w:cs="Times New Roman"/>
          <w:sz w:val="28"/>
          <w:szCs w:val="28"/>
          <w:lang w:eastAsia="bg-BG"/>
        </w:rPr>
        <w:t>ХАРТА НА ОСНОВНИТЕ ПРАВА НА ЕВРОПЕЙСКИЯ СЪЮЗ</w:t>
      </w:r>
    </w:p>
    <w:p w:rsidR="009D563E" w:rsidRDefault="009D563E" w:rsidP="009D563E">
      <w:pPr>
        <w:spacing w:after="0" w:line="240" w:lineRule="auto"/>
        <w:rPr>
          <w:rFonts w:ascii="Times New Roman" w:eastAsia="Times New Roman" w:hAnsi="Times New Roman" w:cs="Times New Roman"/>
          <w:sz w:val="20"/>
          <w:szCs w:val="20"/>
          <w:lang w:val="en-US" w:eastAsia="bg-BG"/>
        </w:rPr>
      </w:pP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Преамбюл</w:t>
      </w:r>
    </w:p>
    <w:p w:rsidR="009D563E" w:rsidRPr="009D563E" w:rsidRDefault="009D563E" w:rsidP="009D563E">
      <w:pPr>
        <w:spacing w:after="0" w:line="240" w:lineRule="auto"/>
        <w:ind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Народите на Европа, като създават все по-тесен съюз помежду си, решиха да споделят мирно и основано на общи ценности бъдеще.</w:t>
      </w:r>
    </w:p>
    <w:p w:rsidR="009D563E" w:rsidRDefault="009D563E" w:rsidP="009D563E">
      <w:pPr>
        <w:spacing w:after="0" w:line="240" w:lineRule="auto"/>
        <w:ind w:firstLine="708"/>
        <w:rPr>
          <w:rFonts w:ascii="Times New Roman" w:eastAsia="Times New Roman" w:hAnsi="Times New Roman" w:cs="Times New Roman"/>
          <w:sz w:val="20"/>
          <w:szCs w:val="20"/>
          <w:lang w:val="en-US" w:eastAsia="bg-BG"/>
        </w:rPr>
      </w:pPr>
      <w:r w:rsidRPr="009D563E">
        <w:rPr>
          <w:rFonts w:ascii="Times New Roman" w:eastAsia="Times New Roman" w:hAnsi="Times New Roman" w:cs="Times New Roman"/>
          <w:sz w:val="20"/>
          <w:szCs w:val="20"/>
          <w:lang w:eastAsia="bg-BG"/>
        </w:rPr>
        <w:t>Като съзнава своето духовно и морално наследство, Съюзът се основава на неделимите и универсални ценности на човешко достойнство, свобода, равенство и солидарност; той почива на принципа на демокрацията и на принципа на правовата държава. Той поставя човека в центъра на своята дейност, като учредява гражданството на Съюза и създава пространство на свобода, сигурност и правосъдие.</w:t>
      </w:r>
    </w:p>
    <w:p w:rsidR="009D563E" w:rsidRPr="009D563E" w:rsidRDefault="009D563E" w:rsidP="009D563E">
      <w:pPr>
        <w:spacing w:after="0" w:line="240" w:lineRule="auto"/>
        <w:ind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Съюзът допринася за съхраняването и развитието на тези общи ценности при зачитане многообразието на културите и традициите на европейските народи, както и националната идентичност на държавите-членки и организацията на техните публични власти на национално, регионално и местно равнище; той се стреми да насърчава балансирано и устойчиво развитие и гарантира свободното движение на хора, услуги, стоки и капитали, както и свободата на установяване.</w:t>
      </w:r>
    </w:p>
    <w:p w:rsidR="009D563E" w:rsidRPr="009D563E" w:rsidRDefault="009D563E" w:rsidP="009D563E">
      <w:pPr>
        <w:spacing w:after="0" w:line="240" w:lineRule="auto"/>
        <w:ind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 тази цел е необходимо да се засили защитата на основните права в светлината на развитието на обществото, на социалния прогрес, на научните и технологични постижения като те се включат в Харта, която ги прави по-видими.</w:t>
      </w:r>
    </w:p>
    <w:p w:rsidR="009D563E" w:rsidRPr="009D563E" w:rsidRDefault="009D563E" w:rsidP="009D563E">
      <w:pPr>
        <w:spacing w:after="0" w:line="240" w:lineRule="auto"/>
        <w:ind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При съблюдаване на компетенциите и задачите на Съюза, както и принципа на </w:t>
      </w:r>
      <w:proofErr w:type="spellStart"/>
      <w:r w:rsidRPr="009D563E">
        <w:rPr>
          <w:rFonts w:ascii="Times New Roman" w:eastAsia="Times New Roman" w:hAnsi="Times New Roman" w:cs="Times New Roman"/>
          <w:sz w:val="20"/>
          <w:szCs w:val="20"/>
          <w:lang w:eastAsia="bg-BG"/>
        </w:rPr>
        <w:t>субсидиарност</w:t>
      </w:r>
      <w:proofErr w:type="spellEnd"/>
      <w:r w:rsidRPr="009D563E">
        <w:rPr>
          <w:rFonts w:ascii="Times New Roman" w:eastAsia="Times New Roman" w:hAnsi="Times New Roman" w:cs="Times New Roman"/>
          <w:sz w:val="20"/>
          <w:szCs w:val="20"/>
          <w:lang w:eastAsia="bg-BG"/>
        </w:rPr>
        <w:t>, настоящата Харта потвърждава отново правата, които произтичат по-специално от общите за държавите-членки конституционни традиции и международни задължения, както и от Европейската конвенция за защита на правата на човека и основните свободи, от приетите от Съюза и от Съвета на Европа социални харти, от практиката на Съда на Европейския съюз и на Европейския съд по правата на човека. В този контекст Хартата ще бъде тълкувана от юрисдикциите на Съюза и на държавите-членки, като надлежно се вземат под внимание разясненията, установени под ръководството на президиума на Конвента, който изработи Хартата, и актуализирани под ръководството на президиума на Европейския конвент.</w:t>
      </w:r>
    </w:p>
    <w:p w:rsidR="009D563E" w:rsidRPr="009D563E" w:rsidRDefault="009D563E" w:rsidP="009D563E">
      <w:pPr>
        <w:spacing w:after="0" w:line="240" w:lineRule="auto"/>
        <w:ind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Ползването от тези права поражда отговорности и задължения, както спрямо другите, така и спрямо човешката общност и бъдещите поколения.</w:t>
      </w:r>
    </w:p>
    <w:p w:rsidR="009D563E" w:rsidRPr="009D563E" w:rsidRDefault="009D563E" w:rsidP="009D563E">
      <w:pPr>
        <w:spacing w:after="0" w:line="240" w:lineRule="auto"/>
        <w:ind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Въз основа на това Съюзът признава посочените по-долу права, свободи и принципи.</w:t>
      </w:r>
    </w:p>
    <w:p w:rsidR="009D563E" w:rsidRPr="009D563E" w:rsidRDefault="009D563E" w:rsidP="009D563E">
      <w:pPr>
        <w:spacing w:after="0" w:line="240" w:lineRule="auto"/>
        <w:ind w:left="424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I</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ДОСТОЙНСТВО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0" w:name="anArt1"/>
      <w:r w:rsidRPr="009D563E">
        <w:rPr>
          <w:rFonts w:ascii="Times New Roman" w:eastAsia="Times New Roman" w:hAnsi="Times New Roman" w:cs="Times New Roman"/>
          <w:sz w:val="20"/>
          <w:szCs w:val="20"/>
          <w:lang w:eastAsia="bg-BG"/>
        </w:rPr>
        <w:t>Член 1</w:t>
      </w:r>
    </w:p>
    <w:bookmarkEnd w:id="0"/>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Човешко достойнство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Човешкото достойнство е ненакърнимо. То трябва да се зачита и защитава.</w:t>
      </w:r>
      <w:bookmarkStart w:id="1" w:name="anArt2"/>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2</w:t>
      </w:r>
    </w:p>
    <w:bookmarkEnd w:id="1"/>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живот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живот.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Никой не може да бъде осъден на смърт, нито екзекутиран.</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2" w:name="anArt3"/>
      <w:r w:rsidRPr="009D563E">
        <w:rPr>
          <w:rFonts w:ascii="Times New Roman" w:eastAsia="Times New Roman" w:hAnsi="Times New Roman" w:cs="Times New Roman"/>
          <w:sz w:val="20"/>
          <w:szCs w:val="20"/>
          <w:lang w:eastAsia="bg-BG"/>
        </w:rPr>
        <w:t>Член 3</w:t>
      </w:r>
    </w:p>
    <w:bookmarkEnd w:id="2"/>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неприкосновеност на личността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физическа и психическа неприкосновеност.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В областта на медицината и на биологията трябва да бъдат зачитани по-специално:</w:t>
      </w:r>
    </w:p>
    <w:tbl>
      <w:tblPr>
        <w:tblW w:w="0" w:type="auto"/>
        <w:tblCellSpacing w:w="15" w:type="dxa"/>
        <w:tblCellMar>
          <w:top w:w="15" w:type="dxa"/>
          <w:left w:w="15" w:type="dxa"/>
          <w:bottom w:w="15" w:type="dxa"/>
          <w:right w:w="15" w:type="dxa"/>
        </w:tblCellMar>
        <w:tblLook w:val="04A0"/>
      </w:tblPr>
      <w:tblGrid>
        <w:gridCol w:w="81"/>
        <w:gridCol w:w="110"/>
        <w:gridCol w:w="9453"/>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31"/>
              <w:gridCol w:w="110"/>
              <w:gridCol w:w="9037"/>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а)</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свободното и информирано съгласие на заинтересованото лице при определени със закон условия и ред;</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vanish/>
          <w:sz w:val="20"/>
          <w:szCs w:val="20"/>
          <w:lang w:eastAsia="bg-BG"/>
        </w:rPr>
      </w:pPr>
    </w:p>
    <w:tbl>
      <w:tblPr>
        <w:tblW w:w="0" w:type="auto"/>
        <w:tblCellSpacing w:w="15" w:type="dxa"/>
        <w:tblCellMar>
          <w:top w:w="15" w:type="dxa"/>
          <w:left w:w="15" w:type="dxa"/>
          <w:bottom w:w="15" w:type="dxa"/>
          <w:right w:w="15" w:type="dxa"/>
        </w:tblCellMar>
        <w:tblLook w:val="04A0"/>
      </w:tblPr>
      <w:tblGrid>
        <w:gridCol w:w="81"/>
        <w:gridCol w:w="110"/>
        <w:gridCol w:w="8807"/>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
              <w:gridCol w:w="110"/>
              <w:gridCol w:w="8378"/>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б)</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забраната на </w:t>
                  </w:r>
                  <w:proofErr w:type="spellStart"/>
                  <w:r w:rsidRPr="009D563E">
                    <w:rPr>
                      <w:rFonts w:ascii="Times New Roman" w:eastAsia="Times New Roman" w:hAnsi="Times New Roman" w:cs="Times New Roman"/>
                      <w:sz w:val="20"/>
                      <w:szCs w:val="20"/>
                      <w:lang w:eastAsia="bg-BG"/>
                    </w:rPr>
                    <w:t>евгеничните</w:t>
                  </w:r>
                  <w:proofErr w:type="spellEnd"/>
                  <w:r w:rsidRPr="009D563E">
                    <w:rPr>
                      <w:rFonts w:ascii="Times New Roman" w:eastAsia="Times New Roman" w:hAnsi="Times New Roman" w:cs="Times New Roman"/>
                      <w:sz w:val="20"/>
                      <w:szCs w:val="20"/>
                      <w:lang w:eastAsia="bg-BG"/>
                    </w:rPr>
                    <w:t xml:space="preserve"> практики, по-специално на тези, които имат за цел селекцията на хора;</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vanish/>
          <w:sz w:val="20"/>
          <w:szCs w:val="20"/>
          <w:lang w:eastAsia="bg-BG"/>
        </w:rPr>
      </w:pPr>
    </w:p>
    <w:tbl>
      <w:tblPr>
        <w:tblW w:w="0" w:type="auto"/>
        <w:tblCellSpacing w:w="15" w:type="dxa"/>
        <w:tblCellMar>
          <w:top w:w="15" w:type="dxa"/>
          <w:left w:w="15" w:type="dxa"/>
          <w:bottom w:w="15" w:type="dxa"/>
          <w:right w:w="15" w:type="dxa"/>
        </w:tblCellMar>
        <w:tblLook w:val="04A0"/>
      </w:tblPr>
      <w:tblGrid>
        <w:gridCol w:w="81"/>
        <w:gridCol w:w="110"/>
        <w:gridCol w:w="7767"/>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37"/>
              <w:gridCol w:w="110"/>
              <w:gridCol w:w="7345"/>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забраната за превръщане на човешкото тяло и неговите части в източник на печалба;</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vanish/>
          <w:sz w:val="20"/>
          <w:szCs w:val="20"/>
          <w:lang w:eastAsia="bg-BG"/>
        </w:rPr>
      </w:pPr>
    </w:p>
    <w:tbl>
      <w:tblPr>
        <w:tblW w:w="0" w:type="auto"/>
        <w:tblCellSpacing w:w="15" w:type="dxa"/>
        <w:tblCellMar>
          <w:top w:w="15" w:type="dxa"/>
          <w:left w:w="15" w:type="dxa"/>
          <w:bottom w:w="15" w:type="dxa"/>
          <w:right w:w="15" w:type="dxa"/>
        </w:tblCellMar>
        <w:tblLook w:val="04A0"/>
      </w:tblPr>
      <w:tblGrid>
        <w:gridCol w:w="81"/>
        <w:gridCol w:w="110"/>
        <w:gridCol w:w="5972"/>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24"/>
              <w:gridCol w:w="110"/>
              <w:gridCol w:w="5563"/>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г)</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забраната на репродуктивното клониране на човешки същества;</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 w:name="anArt4"/>
      <w:r w:rsidRPr="009D563E">
        <w:rPr>
          <w:rFonts w:ascii="Times New Roman" w:eastAsia="Times New Roman" w:hAnsi="Times New Roman" w:cs="Times New Roman"/>
          <w:sz w:val="20"/>
          <w:szCs w:val="20"/>
          <w:lang w:eastAsia="bg-BG"/>
        </w:rPr>
        <w:t>Член 4</w:t>
      </w:r>
    </w:p>
    <w:bookmarkEnd w:id="3"/>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Забрана на изтезанията и на нечовешкото или унизително отношение или наказание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Никой не може да бъде подложен на изтезания, на нечовешко или унизително отношение или наказание.</w:t>
      </w:r>
      <w:bookmarkStart w:id="4" w:name="anArt5"/>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5</w:t>
      </w:r>
    </w:p>
    <w:bookmarkEnd w:id="4"/>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Забрана на робството и на принудителния труд</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Никой не може да бъде държан в робство или в принудително подчинение.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Никой не може да бъде заставян да извършва принудителен или задължителен труд.</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Трафикът на хора е забранен.</w:t>
      </w:r>
    </w:p>
    <w:p w:rsidR="009D563E" w:rsidRPr="009D563E" w:rsidRDefault="009D563E" w:rsidP="009D563E">
      <w:pPr>
        <w:spacing w:after="0" w:line="240" w:lineRule="auto"/>
        <w:ind w:left="424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II</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5" w:name="anArt6"/>
      <w:r w:rsidRPr="009D563E">
        <w:rPr>
          <w:rFonts w:ascii="Times New Roman" w:eastAsia="Times New Roman" w:hAnsi="Times New Roman" w:cs="Times New Roman"/>
          <w:sz w:val="20"/>
          <w:szCs w:val="20"/>
          <w:lang w:eastAsia="bg-BG"/>
        </w:rPr>
        <w:t>Член 6</w:t>
      </w:r>
    </w:p>
    <w:bookmarkEnd w:id="5"/>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свобода и сигурност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има право на свобода и сигурност.</w:t>
      </w:r>
      <w:bookmarkStart w:id="6" w:name="anArt7"/>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7</w:t>
      </w:r>
    </w:p>
    <w:bookmarkEnd w:id="6"/>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lastRenderedPageBreak/>
        <w:t>Зачитане на личния и семейния живот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има право на зачитане на неговия личен и семеен живот, на неговото жилище и тайната на неговите съобщения.</w:t>
      </w:r>
      <w:bookmarkStart w:id="7" w:name="anArt8"/>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8</w:t>
      </w:r>
    </w:p>
    <w:bookmarkEnd w:id="7"/>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Защита на личните данни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защита на неговите личните данни.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Тези данни трябва да бъдат обработвани добросъвестно, за точно определени цели и въз основа на съгласието на заинтересованото лице или по силата на друго предвидено от закона легитимно основание. Всеки има право на достъп до събраните данни, отнасящи се до него, както и правото да изиска поправянето им.</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Спазването на тези правила подлежи на контрол от независим орган.</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8" w:name="anArt9"/>
      <w:r w:rsidRPr="009D563E">
        <w:rPr>
          <w:rFonts w:ascii="Times New Roman" w:eastAsia="Times New Roman" w:hAnsi="Times New Roman" w:cs="Times New Roman"/>
          <w:sz w:val="20"/>
          <w:szCs w:val="20"/>
          <w:lang w:eastAsia="bg-BG"/>
        </w:rPr>
        <w:t>Член 9</w:t>
      </w:r>
    </w:p>
    <w:bookmarkEnd w:id="8"/>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встъпване в брак и право на създаване на семейство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Правото на встъпване в брак и правото на създаване на семейство са гарантирани в съответствие с националните закони, които уреждат упражняването на тези права.</w:t>
      </w:r>
      <w:bookmarkStart w:id="9" w:name="anArt10"/>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10</w:t>
      </w:r>
    </w:p>
    <w:bookmarkEnd w:id="9"/>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 на мисълта, съвестта и религията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свобода на мисълта, съвестта и религията. Това право включва свободата да променя своята религия или убеждения и свободата да изповядва своята религия или убеждения индивидуално или колективно, публично или частно, чрез богослужение, обучение, религиозни обреди и ритуали.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Правото на отказ от военна служба се признава съгласно националните закони, които уреждат упражняването на това право.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0" w:name="anArt11"/>
      <w:r w:rsidRPr="009D563E">
        <w:rPr>
          <w:rFonts w:ascii="Times New Roman" w:eastAsia="Times New Roman" w:hAnsi="Times New Roman" w:cs="Times New Roman"/>
          <w:sz w:val="20"/>
          <w:szCs w:val="20"/>
          <w:lang w:eastAsia="bg-BG"/>
        </w:rPr>
        <w:t>Член 11</w:t>
      </w:r>
    </w:p>
    <w:bookmarkEnd w:id="10"/>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 на изразяване на мнение и свобода на информация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свобода на изразяването на мнения. Това право включва свободата да отстоява своето мнение, да получава и да разпространява информация и идеи без намеса на публичните власти и независимо от границите.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Свободата и плурализмът на медиите се зачитат.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1" w:name="anArt12"/>
      <w:r w:rsidRPr="009D563E">
        <w:rPr>
          <w:rFonts w:ascii="Times New Roman" w:eastAsia="Times New Roman" w:hAnsi="Times New Roman" w:cs="Times New Roman"/>
          <w:sz w:val="20"/>
          <w:szCs w:val="20"/>
          <w:lang w:eastAsia="bg-BG"/>
        </w:rPr>
        <w:t>Член 12</w:t>
      </w:r>
    </w:p>
    <w:bookmarkEnd w:id="11"/>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 на събранията и сдруженията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свобода на мирни събрания и на свободно сдружаване, на всяко равнище, по-специално в областите на политическото, профсъюзното или гражданското сдружаване, включително правото да образува и членува в професионални съюзи за защита на своите интереси.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Политическите партии на равнището на Съюза допринасят за изразяването на политическата воля на гражданите на Съюза.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2" w:name="anArt13"/>
      <w:r w:rsidRPr="009D563E">
        <w:rPr>
          <w:rFonts w:ascii="Times New Roman" w:eastAsia="Times New Roman" w:hAnsi="Times New Roman" w:cs="Times New Roman"/>
          <w:sz w:val="20"/>
          <w:szCs w:val="20"/>
          <w:lang w:eastAsia="bg-BG"/>
        </w:rPr>
        <w:t>Член 13</w:t>
      </w:r>
    </w:p>
    <w:bookmarkEnd w:id="12"/>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 на изкуствата и науките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Изкуствата и научните изследвания са свободни. Академичната свобода се зачита.</w:t>
      </w:r>
      <w:bookmarkStart w:id="13" w:name="anArt14"/>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14</w:t>
      </w:r>
    </w:p>
    <w:bookmarkEnd w:id="13"/>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образование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на образование, както и на достъп до професионално и продължаващо обучение.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Това право включва възможността да се получи безплатно задължително образование.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Свободата да се създават учебни заведения при зачитане на демократичните принципи, както и правото на родителите да осигуряват образованието и обучението на децата си в съответствие със своите религиозни, философски и педагогически убеждения, се зачитат съгласно националните закони, които уреждат тяхното упражняване.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4" w:name="anArt15"/>
      <w:r w:rsidRPr="009D563E">
        <w:rPr>
          <w:rFonts w:ascii="Times New Roman" w:eastAsia="Times New Roman" w:hAnsi="Times New Roman" w:cs="Times New Roman"/>
          <w:sz w:val="20"/>
          <w:szCs w:val="20"/>
          <w:lang w:eastAsia="bg-BG"/>
        </w:rPr>
        <w:t>Член 15</w:t>
      </w:r>
    </w:p>
    <w:bookmarkEnd w:id="14"/>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 при избор на професия и право на труд</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да работи и да упражнява свободно избрана или приета професия.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Всеки гражданин на Съюза има свободата да търси работа, да работи, да се установява или да предоставя услуги във всички държави-членки.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Гражданите на трети страни, които имат разрешение да работят на територията на държавите-членки, имат право на условия на труд еднакви на условията, на които имат право гражданите на Съюза.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5" w:name="anArt16"/>
      <w:r w:rsidRPr="009D563E">
        <w:rPr>
          <w:rFonts w:ascii="Times New Roman" w:eastAsia="Times New Roman" w:hAnsi="Times New Roman" w:cs="Times New Roman"/>
          <w:sz w:val="20"/>
          <w:szCs w:val="20"/>
          <w:lang w:eastAsia="bg-BG"/>
        </w:rPr>
        <w:t>Член 16</w:t>
      </w:r>
    </w:p>
    <w:bookmarkEnd w:id="15"/>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 на стопанската инициатива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Свободата на стопанската инициатива се признава в съответствие с правото на Съюза и с националните законодателства и практики.</w:t>
      </w:r>
      <w:bookmarkStart w:id="16" w:name="anArt17"/>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17</w:t>
      </w:r>
    </w:p>
    <w:bookmarkEnd w:id="16"/>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собственост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да се ползва от собствеността на имуществото, което е придобил законно, да го ползва, да се разпорежда с него и да го завещава. Никой не може да бъде лишен от своята собственост, освен в обществена полза, в предвидените със закон случаи и условия и срещу справедливо и своевременно обезщетение за понесената загуба. Ползването на имуществото може да бъде уредено със закон до степен, необходима за общия интерес.</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Интелектуалната собственост е защитена.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7" w:name="anArt18"/>
      <w:r w:rsidRPr="009D563E">
        <w:rPr>
          <w:rFonts w:ascii="Times New Roman" w:eastAsia="Times New Roman" w:hAnsi="Times New Roman" w:cs="Times New Roman"/>
          <w:sz w:val="20"/>
          <w:szCs w:val="20"/>
          <w:lang w:eastAsia="bg-BG"/>
        </w:rPr>
        <w:t>Член 18</w:t>
      </w:r>
    </w:p>
    <w:bookmarkEnd w:id="17"/>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убежище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Правото на убежище се гарантира при спазване на правилата на Женевската конвенция от 28 юли 1951 г. и на Протокола от 31 януари 1967 г. за статута на бежанците и в съответствие с Договора за Европейския съюз и Договора за функционирането на Европейския съюз (наричани по-нататък „Договорите“).</w:t>
      </w:r>
      <w:bookmarkStart w:id="18" w:name="anArt19"/>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19</w:t>
      </w:r>
    </w:p>
    <w:bookmarkEnd w:id="18"/>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Защита в случай на принудително отвеждане, експулсиране и екстрадиране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Колективното експулсиране е забранено.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Никой не може да бъде принудително отведен, експулсиран или екстрадиран към държава, в която съществува сериозен риск да бъде осъден на смърт, да бъде подложен на изтезание или на друго нечовешко или унизително отношение или наказание.</w:t>
      </w:r>
    </w:p>
    <w:p w:rsidR="009D563E" w:rsidRPr="009D563E" w:rsidRDefault="009D563E" w:rsidP="009D563E">
      <w:pPr>
        <w:spacing w:after="0" w:line="240" w:lineRule="auto"/>
        <w:ind w:left="3540"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III</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РАВЕНСТВО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19" w:name="anArt20"/>
      <w:r w:rsidRPr="009D563E">
        <w:rPr>
          <w:rFonts w:ascii="Times New Roman" w:eastAsia="Times New Roman" w:hAnsi="Times New Roman" w:cs="Times New Roman"/>
          <w:sz w:val="20"/>
          <w:szCs w:val="20"/>
          <w:lang w:eastAsia="bg-BG"/>
        </w:rPr>
        <w:t>Член 20</w:t>
      </w:r>
    </w:p>
    <w:bookmarkEnd w:id="19"/>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Равенство пред закона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Всички хора са равни пред закона.</w:t>
      </w:r>
      <w:bookmarkStart w:id="20" w:name="anArt21"/>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21</w:t>
      </w:r>
    </w:p>
    <w:bookmarkEnd w:id="20"/>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Недискриминация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Забранена е всяка форма на дискриминация, основана по-специално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В областта на прилагане на Договорите и без да се засягат техните особени разпоредби, се забранява всяка форма на дискриминация, основана на гражданството.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21" w:name="anArt22"/>
      <w:r w:rsidRPr="009D563E">
        <w:rPr>
          <w:rFonts w:ascii="Times New Roman" w:eastAsia="Times New Roman" w:hAnsi="Times New Roman" w:cs="Times New Roman"/>
          <w:sz w:val="20"/>
          <w:szCs w:val="20"/>
          <w:lang w:eastAsia="bg-BG"/>
        </w:rPr>
        <w:t>Член 22</w:t>
      </w:r>
    </w:p>
    <w:bookmarkEnd w:id="21"/>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Културно, религиозно и езиково многообразие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Съюзът зачита културното, религиозното и езиковото многообразие.</w:t>
      </w:r>
      <w:bookmarkStart w:id="22" w:name="anArt23"/>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23</w:t>
      </w:r>
    </w:p>
    <w:bookmarkEnd w:id="22"/>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Равенство между жените и мъжете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Равенството между жените и мъжете трябва да бъде гарантирано във всички области, включително заетостта, труда и възнаграждението.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Принципът на равенството не пречи на запазването в действие или приемането на мерки, предвиждащи специфични предимства в полза на по-слабо представения пол.</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23" w:name="anArt24"/>
      <w:r w:rsidRPr="009D563E">
        <w:rPr>
          <w:rFonts w:ascii="Times New Roman" w:eastAsia="Times New Roman" w:hAnsi="Times New Roman" w:cs="Times New Roman"/>
          <w:sz w:val="20"/>
          <w:szCs w:val="20"/>
          <w:lang w:eastAsia="bg-BG"/>
        </w:rPr>
        <w:t>Член 24</w:t>
      </w:r>
    </w:p>
    <w:bookmarkEnd w:id="23"/>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Права на детето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Децата имат право на закрила и на грижите, необходими за тяхното благоденствие. Те могат да изразяват свободно своето мнение. То се взема под внимание по въпросите, които ги засягат, в зависимост от възрастта и зрелостта им.</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При всички действия, които се предприемат от публичните власти или частни институции по отношение на децата, висшият интерес на детето трябва да бъде от първостепенно значение.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Всяко дете има право да поддържа редовно лични отношения и преки контакти с двамата си родители, освен когато това е против неговия интерес.</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24" w:name="anArt25"/>
      <w:r w:rsidRPr="009D563E">
        <w:rPr>
          <w:rFonts w:ascii="Times New Roman" w:eastAsia="Times New Roman" w:hAnsi="Times New Roman" w:cs="Times New Roman"/>
          <w:sz w:val="20"/>
          <w:szCs w:val="20"/>
          <w:lang w:eastAsia="bg-BG"/>
        </w:rPr>
        <w:t>Член 25</w:t>
      </w:r>
    </w:p>
    <w:bookmarkEnd w:id="24"/>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Права на възрастните хора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Съюзът признава и зачита правото на възрастните хора да водят достоен и независим живот и да участват в социалния и културния живот.</w:t>
      </w:r>
      <w:bookmarkStart w:id="25" w:name="anArt26"/>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26</w:t>
      </w:r>
    </w:p>
    <w:bookmarkEnd w:id="25"/>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Интеграция на хората с увреждания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Съюзът признава и зачита правото на хората с увреждания да се ползват от мерки, които осигуряват тяхната автономност, социалната и професионалната им интеграция и участието им в живота на общността.</w:t>
      </w:r>
    </w:p>
    <w:p w:rsidR="009D563E" w:rsidRPr="009D563E" w:rsidRDefault="009D563E" w:rsidP="009D563E">
      <w:pPr>
        <w:spacing w:after="0" w:line="240" w:lineRule="auto"/>
        <w:ind w:left="3540"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IV</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СОЛИДАРНОСТ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26" w:name="anArt27"/>
      <w:r w:rsidRPr="009D563E">
        <w:rPr>
          <w:rFonts w:ascii="Times New Roman" w:eastAsia="Times New Roman" w:hAnsi="Times New Roman" w:cs="Times New Roman"/>
          <w:sz w:val="20"/>
          <w:szCs w:val="20"/>
          <w:lang w:eastAsia="bg-BG"/>
        </w:rPr>
        <w:t>Член 27</w:t>
      </w:r>
    </w:p>
    <w:bookmarkEnd w:id="26"/>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информиране и консултиране на работниците в предприятието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На работниците или на техните представители трябва да се гарантира, на съответните равнища, своевременно информиране и консултиране в предвидените от правото на Съюза, от националните законодателства и практики случаи и условия.</w:t>
      </w:r>
      <w:bookmarkStart w:id="27" w:name="anArt28"/>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28</w:t>
      </w:r>
    </w:p>
    <w:bookmarkEnd w:id="27"/>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колективни преговори и действия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 съответствие с правото на Съюза и с националните законодателства и практики работниците и работодателите, или съответните им организации, имат правото да преговарят и да сключват колективни договори на съответните равнища, както и да предприемат колективни действия за защита на техните интереси, включително стачка, в случай на конфликт на интереси.</w:t>
      </w:r>
      <w:bookmarkStart w:id="28" w:name="anArt29"/>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29</w:t>
      </w:r>
    </w:p>
    <w:bookmarkEnd w:id="28"/>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достъп до услугите за намиране на работа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има право на достъп до безплатна услуга за намиране на работа.</w:t>
      </w:r>
      <w:bookmarkStart w:id="29" w:name="anArt30"/>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30</w:t>
      </w:r>
    </w:p>
    <w:bookmarkEnd w:id="29"/>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Защита при неоснователно уволнение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работник има право на защита срещу всяка форма на неоснователно уволнение, в съответствие с правото на Съюза и с националните законодателства и практики.</w:t>
      </w:r>
      <w:bookmarkStart w:id="30" w:name="anArt31"/>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31</w:t>
      </w:r>
    </w:p>
    <w:bookmarkEnd w:id="30"/>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Справедливи и равни условия на труд</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работник има право на условия на труд, които опазват неговото здраве и сигурност и зачитат достойнството му.</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Всеки работник има право на ограничаване на максималната продължителност на труда, на периоди на дневна и седмична почивка, както и на платен годишен отпуск.</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1" w:name="anArt32"/>
      <w:r w:rsidRPr="009D563E">
        <w:rPr>
          <w:rFonts w:ascii="Times New Roman" w:eastAsia="Times New Roman" w:hAnsi="Times New Roman" w:cs="Times New Roman"/>
          <w:sz w:val="20"/>
          <w:szCs w:val="20"/>
          <w:lang w:eastAsia="bg-BG"/>
        </w:rPr>
        <w:t>Член 32</w:t>
      </w:r>
    </w:p>
    <w:bookmarkEnd w:id="31"/>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Забрана на детския труд и защита на работещите младежи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Детският труд е забранен. Минималната възраст за допускане до работа не може да бъде по-ниска от възрастта, на която завършва периодът на задължително образование, без да се засяга действието на по-благоприятни за младежите правила и с изключение на ограничени </w:t>
      </w:r>
      <w:proofErr w:type="spellStart"/>
      <w:r w:rsidRPr="009D563E">
        <w:rPr>
          <w:rFonts w:ascii="Times New Roman" w:eastAsia="Times New Roman" w:hAnsi="Times New Roman" w:cs="Times New Roman"/>
          <w:sz w:val="20"/>
          <w:szCs w:val="20"/>
          <w:lang w:eastAsia="bg-BG"/>
        </w:rPr>
        <w:t>дерогации</w:t>
      </w:r>
      <w:proofErr w:type="spellEnd"/>
      <w:r w:rsidRPr="009D563E">
        <w:rPr>
          <w:rFonts w:ascii="Times New Roman" w:eastAsia="Times New Roman" w:hAnsi="Times New Roman" w:cs="Times New Roman"/>
          <w:sz w:val="20"/>
          <w:szCs w:val="20"/>
          <w:lang w:eastAsia="bg-BG"/>
        </w:rPr>
        <w:t>.</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Приетите на работа младежи трябва да се ползват от пригодени за тяхната възраст условия на труд и да бъдат защитени срещу икономическа експлоатация или срещу всеки труд, който би могъл да навреди на тяхната сигурност, на тяхното здраве, на физическото, психическото, моралното или социалното им развитие, или да възпрепятства образованието им.</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2" w:name="anArt33"/>
      <w:r w:rsidRPr="009D563E">
        <w:rPr>
          <w:rFonts w:ascii="Times New Roman" w:eastAsia="Times New Roman" w:hAnsi="Times New Roman" w:cs="Times New Roman"/>
          <w:sz w:val="20"/>
          <w:szCs w:val="20"/>
          <w:lang w:eastAsia="bg-BG"/>
        </w:rPr>
        <w:t>Член 33</w:t>
      </w:r>
    </w:p>
    <w:bookmarkEnd w:id="32"/>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Семеен и професионален живот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Закрилата на семейството е гарантирана в юридически, икономически и социален план.</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За да може да съчетава семейния и професионалния живот, всеки има право на защита срещу уволнение, което има за мотив майчинство, както и право на платен отпуск по майчинство и на родителски отпуск за раждане или осиновяване на дете.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3" w:name="anArt34"/>
      <w:r w:rsidRPr="009D563E">
        <w:rPr>
          <w:rFonts w:ascii="Times New Roman" w:eastAsia="Times New Roman" w:hAnsi="Times New Roman" w:cs="Times New Roman"/>
          <w:sz w:val="20"/>
          <w:szCs w:val="20"/>
          <w:lang w:eastAsia="bg-BG"/>
        </w:rPr>
        <w:t>Член 34</w:t>
      </w:r>
    </w:p>
    <w:bookmarkEnd w:id="33"/>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Социална сигурност и социална помощ</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Съюзът признава и зачита правото на достъп до обезщетенията за социална сигурност и до социалните служби, които осигуряват закрила в случаи като майчинство, заболяване, трудова злополука, зависимо положение или старост, както и в случай на загуба на работа, в съответствие с правилата, установени от правото на Съюза и от националните законодателства и практики.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Всеки, който пребивава и се придвижва законно на територията на Съюза, има право на обезщетения за социална сигурност и на социални придобивки в съответствие с правото на Съюза и с националните законодателства и практики.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С цел да се бори срещу социалното изключване и бедността, Съюзът признава и зачита правото на социална помощ и на помощ за жилище, предназначени да осигурят достойно съществуване на всички лица, които не разполагат с достатъчно средства според правилата, установени от правото на Съюза и от националните законодателства и практики.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4" w:name="anArt35"/>
      <w:r w:rsidRPr="009D563E">
        <w:rPr>
          <w:rFonts w:ascii="Times New Roman" w:eastAsia="Times New Roman" w:hAnsi="Times New Roman" w:cs="Times New Roman"/>
          <w:sz w:val="20"/>
          <w:szCs w:val="20"/>
          <w:lang w:eastAsia="bg-BG"/>
        </w:rPr>
        <w:t>Член 35</w:t>
      </w:r>
    </w:p>
    <w:bookmarkEnd w:id="34"/>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Закрила на здравето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има право на достъп до здравна профилактика и да ползва медицински грижи при условията, установени от националните законодателства и практики. При определянето и осъществяването на всички политики и действия на Съюза се осигурява висока степен на закрила на човешкото здраве.</w:t>
      </w:r>
      <w:bookmarkStart w:id="35" w:name="anArt36"/>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36</w:t>
      </w:r>
    </w:p>
    <w:bookmarkEnd w:id="35"/>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Достъп до услугите от общ икономически интерес</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 цел да насърчава социалното и териториално единство на Съюза Съюзът признава и зачита достъпа до услугите от общ икономически интерес, предвиден от националните законодателства и практики в съответствие с Договорите.</w:t>
      </w:r>
      <w:bookmarkStart w:id="36" w:name="anArt37"/>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37</w:t>
      </w:r>
    </w:p>
    <w:bookmarkEnd w:id="36"/>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Опазване на околната среда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Високото равнище на опазване на околната среда и подобряването на нейното качество трябва да бъдат включени в политиките на Съюза и гарантирани в съответствие с принципа на устойчиво развитие.</w:t>
      </w:r>
      <w:bookmarkStart w:id="37" w:name="anArt38"/>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38</w:t>
      </w:r>
    </w:p>
    <w:bookmarkEnd w:id="37"/>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Защита на потребителите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 политиките на Съюза се осигурява високо равнище на защита на потребителите.</w:t>
      </w:r>
    </w:p>
    <w:p w:rsidR="009D563E" w:rsidRPr="009D563E" w:rsidRDefault="009D563E" w:rsidP="009D563E">
      <w:pPr>
        <w:spacing w:after="0" w:line="240" w:lineRule="auto"/>
        <w:ind w:left="3540"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V</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ГРАЖДАНСТВО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8" w:name="anArt39"/>
      <w:r w:rsidRPr="009D563E">
        <w:rPr>
          <w:rFonts w:ascii="Times New Roman" w:eastAsia="Times New Roman" w:hAnsi="Times New Roman" w:cs="Times New Roman"/>
          <w:sz w:val="20"/>
          <w:szCs w:val="20"/>
          <w:lang w:eastAsia="bg-BG"/>
        </w:rPr>
        <w:t>Член 39</w:t>
      </w:r>
    </w:p>
    <w:bookmarkEnd w:id="38"/>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гражданите да избират и да бъдат избирани в изборите за Европейския парламент</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гражданин на Съюза има право да избира и да бъде избиран в изборите за Европейския парламент в държавата-членка, в която пребивава, при същите условия, както и гражданите на тази държава.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Членовете на Европейския парламент се избират чрез всеобщо, пряко, свободно и тайно гласуване.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39" w:name="anArt40"/>
      <w:r w:rsidRPr="009D563E">
        <w:rPr>
          <w:rFonts w:ascii="Times New Roman" w:eastAsia="Times New Roman" w:hAnsi="Times New Roman" w:cs="Times New Roman"/>
          <w:sz w:val="20"/>
          <w:szCs w:val="20"/>
          <w:lang w:eastAsia="bg-BG"/>
        </w:rPr>
        <w:t>Член 40</w:t>
      </w:r>
    </w:p>
    <w:bookmarkEnd w:id="39"/>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гражданите да избират и да бъдат избирани в общинските избори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гражданин на Съюза има право да избира и да бъде избиран в общински избори в държавата-членка, в която пребивава, при същите условия, както и гражданите на тази държава.</w:t>
      </w:r>
      <w:bookmarkStart w:id="40" w:name="anArt41"/>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41</w:t>
      </w:r>
    </w:p>
    <w:bookmarkEnd w:id="40"/>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добра администрация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има право засягащите го въпроси да бъдат разглеждани от институциите, органите, службите и агенциите на Съюза безпристрастно, справедливо и в разумен срок.</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Това право включва по-специално:</w:t>
      </w:r>
    </w:p>
    <w:tbl>
      <w:tblPr>
        <w:tblW w:w="0" w:type="auto"/>
        <w:tblCellSpacing w:w="15" w:type="dxa"/>
        <w:tblCellMar>
          <w:top w:w="15" w:type="dxa"/>
          <w:left w:w="15" w:type="dxa"/>
          <w:bottom w:w="15" w:type="dxa"/>
          <w:right w:w="15" w:type="dxa"/>
        </w:tblCellMar>
        <w:tblLook w:val="04A0"/>
      </w:tblPr>
      <w:tblGrid>
        <w:gridCol w:w="81"/>
        <w:gridCol w:w="110"/>
        <w:gridCol w:w="9963"/>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31"/>
              <w:gridCol w:w="110"/>
              <w:gridCol w:w="9547"/>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а)</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правото на всяко лице да бъде изслушвано преди срещу него да бъде предприета индивидуална мярка, която би имала неблагоприятни последици за него;</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vanish/>
          <w:sz w:val="20"/>
          <w:szCs w:val="20"/>
          <w:lang w:eastAsia="bg-BG"/>
        </w:rPr>
      </w:pPr>
    </w:p>
    <w:tbl>
      <w:tblPr>
        <w:tblW w:w="0" w:type="auto"/>
        <w:tblCellSpacing w:w="15" w:type="dxa"/>
        <w:tblCellMar>
          <w:top w:w="15" w:type="dxa"/>
          <w:left w:w="15" w:type="dxa"/>
          <w:bottom w:w="15" w:type="dxa"/>
          <w:right w:w="15" w:type="dxa"/>
        </w:tblCellMar>
        <w:tblLook w:val="04A0"/>
      </w:tblPr>
      <w:tblGrid>
        <w:gridCol w:w="81"/>
        <w:gridCol w:w="110"/>
        <w:gridCol w:w="9963"/>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
              <w:gridCol w:w="110"/>
              <w:gridCol w:w="9534"/>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б)</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правото на достъп на всяко лице до документите, които се отнасят до него, като се зачитат легитимните интереси, свързани с поверителността и професионалната и служебна тайна;</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vanish/>
          <w:sz w:val="20"/>
          <w:szCs w:val="20"/>
          <w:lang w:eastAsia="bg-BG"/>
        </w:rPr>
      </w:pPr>
    </w:p>
    <w:tbl>
      <w:tblPr>
        <w:tblW w:w="0" w:type="auto"/>
        <w:tblCellSpacing w:w="15" w:type="dxa"/>
        <w:tblCellMar>
          <w:top w:w="15" w:type="dxa"/>
          <w:left w:w="15" w:type="dxa"/>
          <w:bottom w:w="15" w:type="dxa"/>
          <w:right w:w="15" w:type="dxa"/>
        </w:tblCellMar>
        <w:tblLook w:val="04A0"/>
      </w:tblPr>
      <w:tblGrid>
        <w:gridCol w:w="81"/>
        <w:gridCol w:w="110"/>
        <w:gridCol w:w="6024"/>
      </w:tblGrid>
      <w:tr w:rsidR="009D563E" w:rsidRPr="009D563E" w:rsidT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37"/>
              <w:gridCol w:w="110"/>
              <w:gridCol w:w="5602"/>
            </w:tblGrid>
            <w:tr w:rsidR="009D563E" w:rsidRPr="009D563E">
              <w:trPr>
                <w:tblCellSpacing w:w="15" w:type="dxa"/>
              </w:trPr>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w:t>
                  </w:r>
                </w:p>
              </w:tc>
              <w:tc>
                <w:tcPr>
                  <w:tcW w:w="0" w:type="auto"/>
                  <w:vAlign w:val="center"/>
                  <w:hideMark/>
                </w:tcPr>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задължението на администрацията да мотивира своите решения.</w:t>
                  </w: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p>
        </w:tc>
      </w:tr>
    </w:tbl>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Всяко лице има право на обезщетение от страна на Съюза за вредите, нанесени му от институциите или от техните служители при изпълнение на служебните им задължения, в съответствие с основните принципи, които са общи за законодателствата на държавите-членки.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4.   Всяко лице може да се обърне към институциите на Съюза на един от официалните езици на Договорите и трябва да получи отговор на същия език.</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41" w:name="anArt42"/>
      <w:r w:rsidRPr="009D563E">
        <w:rPr>
          <w:rFonts w:ascii="Times New Roman" w:eastAsia="Times New Roman" w:hAnsi="Times New Roman" w:cs="Times New Roman"/>
          <w:sz w:val="20"/>
          <w:szCs w:val="20"/>
          <w:lang w:eastAsia="bg-BG"/>
        </w:rPr>
        <w:t>Член 42</w:t>
      </w:r>
    </w:p>
    <w:bookmarkEnd w:id="41"/>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достъп до документи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Всеки гражданин на Съюза, както и всяко физическо или юридическо лице, което пребивава в държава-членка или има там седалище според </w:t>
      </w:r>
      <w:proofErr w:type="spellStart"/>
      <w:r w:rsidRPr="009D563E">
        <w:rPr>
          <w:rFonts w:ascii="Times New Roman" w:eastAsia="Times New Roman" w:hAnsi="Times New Roman" w:cs="Times New Roman"/>
          <w:sz w:val="20"/>
          <w:szCs w:val="20"/>
          <w:lang w:eastAsia="bg-BG"/>
        </w:rPr>
        <w:t>устройствения</w:t>
      </w:r>
      <w:proofErr w:type="spellEnd"/>
      <w:r w:rsidRPr="009D563E">
        <w:rPr>
          <w:rFonts w:ascii="Times New Roman" w:eastAsia="Times New Roman" w:hAnsi="Times New Roman" w:cs="Times New Roman"/>
          <w:sz w:val="20"/>
          <w:szCs w:val="20"/>
          <w:lang w:eastAsia="bg-BG"/>
        </w:rPr>
        <w:t xml:space="preserve"> му акт, има право на достъп до документите на институциите, органите, службите и агенциите на Съюза, независимо от вида на техния носител.</w:t>
      </w:r>
      <w:bookmarkStart w:id="42" w:name="anArt43"/>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43</w:t>
      </w:r>
    </w:p>
    <w:bookmarkEnd w:id="42"/>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Европейски </w:t>
      </w:r>
      <w:proofErr w:type="spellStart"/>
      <w:r w:rsidRPr="009D563E">
        <w:rPr>
          <w:rFonts w:ascii="Times New Roman" w:eastAsia="Times New Roman" w:hAnsi="Times New Roman" w:cs="Times New Roman"/>
          <w:sz w:val="20"/>
          <w:szCs w:val="20"/>
          <w:lang w:eastAsia="bg-BG"/>
        </w:rPr>
        <w:t>омбудсман</w:t>
      </w:r>
      <w:proofErr w:type="spellEnd"/>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Всеки гражданин на Съюза, както и всяко физическо или юридическо лице, което пребивава или има седалище според </w:t>
      </w:r>
      <w:proofErr w:type="spellStart"/>
      <w:r w:rsidRPr="009D563E">
        <w:rPr>
          <w:rFonts w:ascii="Times New Roman" w:eastAsia="Times New Roman" w:hAnsi="Times New Roman" w:cs="Times New Roman"/>
          <w:sz w:val="20"/>
          <w:szCs w:val="20"/>
          <w:lang w:eastAsia="bg-BG"/>
        </w:rPr>
        <w:t>устройствения</w:t>
      </w:r>
      <w:proofErr w:type="spellEnd"/>
      <w:r w:rsidRPr="009D563E">
        <w:rPr>
          <w:rFonts w:ascii="Times New Roman" w:eastAsia="Times New Roman" w:hAnsi="Times New Roman" w:cs="Times New Roman"/>
          <w:sz w:val="20"/>
          <w:szCs w:val="20"/>
          <w:lang w:eastAsia="bg-BG"/>
        </w:rPr>
        <w:t xml:space="preserve"> му акт в държава-членка, има право да сезира Европейския </w:t>
      </w:r>
      <w:proofErr w:type="spellStart"/>
      <w:r w:rsidRPr="009D563E">
        <w:rPr>
          <w:rFonts w:ascii="Times New Roman" w:eastAsia="Times New Roman" w:hAnsi="Times New Roman" w:cs="Times New Roman"/>
          <w:sz w:val="20"/>
          <w:szCs w:val="20"/>
          <w:lang w:eastAsia="bg-BG"/>
        </w:rPr>
        <w:t>омбудсман</w:t>
      </w:r>
      <w:proofErr w:type="spellEnd"/>
      <w:r w:rsidRPr="009D563E">
        <w:rPr>
          <w:rFonts w:ascii="Times New Roman" w:eastAsia="Times New Roman" w:hAnsi="Times New Roman" w:cs="Times New Roman"/>
          <w:sz w:val="20"/>
          <w:szCs w:val="20"/>
          <w:lang w:eastAsia="bg-BG"/>
        </w:rPr>
        <w:t xml:space="preserve"> за случаи на лоша администрация в действията на институциите, органите, службите и агенциите на Съюза, с изключение на Съда на Европейския съюз при изпълнението на неговите съдебни функции.</w:t>
      </w:r>
      <w:bookmarkStart w:id="43" w:name="anArt44"/>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44</w:t>
      </w:r>
    </w:p>
    <w:bookmarkEnd w:id="43"/>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петиции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Всеки гражданин на Съюза, както и всяко физическо или юридическо лице, което пребивава или има седалище според </w:t>
      </w:r>
      <w:proofErr w:type="spellStart"/>
      <w:r w:rsidRPr="009D563E">
        <w:rPr>
          <w:rFonts w:ascii="Times New Roman" w:eastAsia="Times New Roman" w:hAnsi="Times New Roman" w:cs="Times New Roman"/>
          <w:sz w:val="20"/>
          <w:szCs w:val="20"/>
          <w:lang w:eastAsia="bg-BG"/>
        </w:rPr>
        <w:t>устройствения</w:t>
      </w:r>
      <w:proofErr w:type="spellEnd"/>
      <w:r w:rsidRPr="009D563E">
        <w:rPr>
          <w:rFonts w:ascii="Times New Roman" w:eastAsia="Times New Roman" w:hAnsi="Times New Roman" w:cs="Times New Roman"/>
          <w:sz w:val="20"/>
          <w:szCs w:val="20"/>
          <w:lang w:eastAsia="bg-BG"/>
        </w:rPr>
        <w:t xml:space="preserve"> му акт в държава-членка, има право да отправя петиции до Европейския парламент.</w:t>
      </w:r>
      <w:bookmarkStart w:id="44" w:name="anArt45"/>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45</w:t>
      </w:r>
    </w:p>
    <w:bookmarkEnd w:id="44"/>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Свободно движение и пребиваване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гражданин на Съюза има право свободно да се движи и да пребивава на територията на държавите-членки.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В съответствие с Договорите правото на свободно движение и пребиваване може да се предоставя на гражданите на трети страни, които пребивават законно на територията на държава-членка.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45" w:name="anArt46"/>
      <w:r w:rsidRPr="009D563E">
        <w:rPr>
          <w:rFonts w:ascii="Times New Roman" w:eastAsia="Times New Roman" w:hAnsi="Times New Roman" w:cs="Times New Roman"/>
          <w:sz w:val="20"/>
          <w:szCs w:val="20"/>
          <w:lang w:eastAsia="bg-BG"/>
        </w:rPr>
        <w:t>Член 46</w:t>
      </w:r>
    </w:p>
    <w:bookmarkEnd w:id="45"/>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Дипломатическа и консулска закрила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гражданин на Съюза се ползва от закрилата на дипломатическите и консулските власти на всяка друга държава-членка на територията на трети страни, в които държавата-членка, чиито гражданин е, няма представителство, при същите условия, както гражданите на тази държава.</w:t>
      </w:r>
    </w:p>
    <w:p w:rsidR="009D563E" w:rsidRPr="009D563E" w:rsidRDefault="009D563E" w:rsidP="009D563E">
      <w:pPr>
        <w:spacing w:after="0" w:line="240" w:lineRule="auto"/>
        <w:ind w:left="424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VI</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ПРАВОСЪДИЕ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46" w:name="anArt47"/>
      <w:r w:rsidRPr="009D563E">
        <w:rPr>
          <w:rFonts w:ascii="Times New Roman" w:eastAsia="Times New Roman" w:hAnsi="Times New Roman" w:cs="Times New Roman"/>
          <w:sz w:val="20"/>
          <w:szCs w:val="20"/>
          <w:lang w:eastAsia="bg-BG"/>
        </w:rPr>
        <w:t>Член 47</w:t>
      </w:r>
    </w:p>
    <w:bookmarkEnd w:id="46"/>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ефективни правни средства за защита и на справедлив съдебен процес</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чийто права и свободи, гарантирани от правото на Съюза, са били нарушени, има право на ефективни правни средства за защита пред съд в съответствие с предвидените в настоящия член условия.</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Всеки има право неговото дело да бъде гледано справедливо и публично в разумен срок от независим и безпристрастен съд, предварително създаден със закон. Всеки има възможността да бъде съветван, защитаван и представляван.</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На лицата, които не разполагат с достатъчно средства, се предоставя правна помощ, доколкото тази помощ е необходима, за да се осигури реален достъп до правосъдие.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47" w:name="anArt48"/>
      <w:r w:rsidRPr="009D563E">
        <w:rPr>
          <w:rFonts w:ascii="Times New Roman" w:eastAsia="Times New Roman" w:hAnsi="Times New Roman" w:cs="Times New Roman"/>
          <w:sz w:val="20"/>
          <w:szCs w:val="20"/>
          <w:lang w:eastAsia="bg-BG"/>
        </w:rPr>
        <w:t>Член 48</w:t>
      </w:r>
    </w:p>
    <w:bookmarkEnd w:id="47"/>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Презумпция за невиновност и право на защита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Всеки обвиняем се счита за невинен до установяване на вината му в съответствие със закона.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На всеки обвиняем се гарантира зачитане на правото на защита.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48" w:name="anArt49"/>
      <w:r w:rsidRPr="009D563E">
        <w:rPr>
          <w:rFonts w:ascii="Times New Roman" w:eastAsia="Times New Roman" w:hAnsi="Times New Roman" w:cs="Times New Roman"/>
          <w:sz w:val="20"/>
          <w:szCs w:val="20"/>
          <w:lang w:eastAsia="bg-BG"/>
        </w:rPr>
        <w:t>Член 49</w:t>
      </w:r>
    </w:p>
    <w:bookmarkEnd w:id="48"/>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Принципи на законност и пропорционалност на престъплението и наказанието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Никой не може да бъде осъден за действие или бездействие, което в момента на извършването му не е представлявало престъпление съгласно националното или международното право. По същия начин, не може да бъде налагано по-тежко наказание от това, което е било приложимо към момента на извършване на престъплението. Ако в по-късен момент след престъплението законът предвижда по-леко наказание, трябва да се приложи това наказание.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Настоящият член не засяга осъждането и наказанието на лице, виновно за действие или бездействие, което в момента на извършването му е било престъпление по смисъла на общите принципи, признати от всички народи.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Тежестта на наказанията не трябва да бъде несъразмерна спрямо престъплението.</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49" w:name="anArt50"/>
      <w:r w:rsidRPr="009D563E">
        <w:rPr>
          <w:rFonts w:ascii="Times New Roman" w:eastAsia="Times New Roman" w:hAnsi="Times New Roman" w:cs="Times New Roman"/>
          <w:sz w:val="20"/>
          <w:szCs w:val="20"/>
          <w:lang w:eastAsia="bg-BG"/>
        </w:rPr>
        <w:t>Член 50</w:t>
      </w:r>
    </w:p>
    <w:bookmarkEnd w:id="49"/>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Право на всеки да не бъде съден или наказван два пъти за едно и също престъпление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w:t>
      </w:r>
    </w:p>
    <w:p w:rsidR="009D563E" w:rsidRPr="009D563E" w:rsidRDefault="009D563E" w:rsidP="009D563E">
      <w:pPr>
        <w:spacing w:after="0" w:line="240" w:lineRule="auto"/>
        <w:ind w:left="3540" w:firstLine="708"/>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ДЯЛ VII</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ОБЩИ РАЗПОРЕДБИ ОТНОСНО ТЪЛКУВАНЕТО И ПРИЛАГАНЕТО НА ХАРТАТА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50" w:name="anArt51"/>
      <w:r w:rsidRPr="009D563E">
        <w:rPr>
          <w:rFonts w:ascii="Times New Roman" w:eastAsia="Times New Roman" w:hAnsi="Times New Roman" w:cs="Times New Roman"/>
          <w:sz w:val="20"/>
          <w:szCs w:val="20"/>
          <w:lang w:eastAsia="bg-BG"/>
        </w:rPr>
        <w:t>Член 51</w:t>
      </w:r>
    </w:p>
    <w:bookmarkEnd w:id="50"/>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Приложно поле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 xml:space="preserve">1.   Разпоредбите на настоящата харта се отнасят за институциите, органите, службите и агенциите на Съюза при зачитане на принципа на </w:t>
      </w:r>
      <w:proofErr w:type="spellStart"/>
      <w:r w:rsidRPr="009D563E">
        <w:rPr>
          <w:rFonts w:ascii="Times New Roman" w:eastAsia="Times New Roman" w:hAnsi="Times New Roman" w:cs="Times New Roman"/>
          <w:sz w:val="20"/>
          <w:szCs w:val="20"/>
          <w:lang w:eastAsia="bg-BG"/>
        </w:rPr>
        <w:t>субсидиарност</w:t>
      </w:r>
      <w:proofErr w:type="spellEnd"/>
      <w:r w:rsidRPr="009D563E">
        <w:rPr>
          <w:rFonts w:ascii="Times New Roman" w:eastAsia="Times New Roman" w:hAnsi="Times New Roman" w:cs="Times New Roman"/>
          <w:sz w:val="20"/>
          <w:szCs w:val="20"/>
          <w:lang w:eastAsia="bg-BG"/>
        </w:rPr>
        <w:t>, както и за държавите-членки, единствено когато те прилагат правото на Съюза. В този смисъл те зачитат правата, спазват принципите и насърчават тяхното прилагане в съответствие със своите компетенции и при зачитане на предоставените в Договорите компетенциите на Съюза.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Настоящата харта не разширява приложното поле на правото на Съюза извън компетенциите на Съюза, не създава никакви нови компетенции или задачи за Съюза и не променя компетенциите и задачите, определени в Договорите.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51" w:name="anArt52"/>
      <w:r w:rsidRPr="009D563E">
        <w:rPr>
          <w:rFonts w:ascii="Times New Roman" w:eastAsia="Times New Roman" w:hAnsi="Times New Roman" w:cs="Times New Roman"/>
          <w:sz w:val="20"/>
          <w:szCs w:val="20"/>
          <w:lang w:eastAsia="bg-BG"/>
        </w:rPr>
        <w:t>Член 52</w:t>
      </w:r>
    </w:p>
    <w:bookmarkEnd w:id="51"/>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Обхват и тълкуване на правата и принципите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1.   Всяко ограничаване на упражняването на правата и свободите, признати от настоящата Харта, трябва да бъде предвидено в закон и да зачита основното съдържание на същите права и свободи. При спазване на принципа на пропорционалност ограничения могат да бъдат налагани, само ако са необходими и ако действително отговарят на признати от Съюза цели от общ интерес или на необходимостта да се защитят правата и свободите на други хора.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2.   Признатите от настоящата Харта права, които са предмет на разпоредби на Договорите, се упражняват при определените в тях условия и граници.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3.   Доколкото настоящата Харта съдържа права, съответстващи на права, гарантирани от Европейската конвенция за защита на правата на човека и основните свободи, техният смисъл и обхват са същите като дадените им в посочената Конвенция. Тази разпоредба не пречи правото на Съюза да предоставя по-широка защита.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4.   Доколкото настоящата Харта признава основни права, които произтичат от общите за държавите-членки конституционните традиции, тези права трябва да бъдат тълкувани в хармония с тези традиции.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5.   Разпоредбите на настоящата Харта, които съдържат принципи, могат да бъдат прилагани чрез законодателни и изпълнителни актове, приети от институциите, органите, службите и агенциите на Съюза, както и чрез актове на държавите-членки, когато те прилагат правото на Съюза при упражняване на съответните им компетенции. Позоваването на тези принципи пред съд е допустимо само за тълкуване и проверка на законността на такива актове.</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6.   Националните законодателства и практики трябва да бъдат взети предвид в тяхната цялост, както е посочено в настоящата Харта.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7.   Разясненията, изготвени за да направляват тълкуването на настоящата Харта, се вземат надлежно под внимание от юрисдикциите на Съюза и на държавите-членки.</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bookmarkStart w:id="52" w:name="anArt53"/>
      <w:r w:rsidRPr="009D563E">
        <w:rPr>
          <w:rFonts w:ascii="Times New Roman" w:eastAsia="Times New Roman" w:hAnsi="Times New Roman" w:cs="Times New Roman"/>
          <w:sz w:val="20"/>
          <w:szCs w:val="20"/>
          <w:lang w:eastAsia="bg-BG"/>
        </w:rPr>
        <w:t>Член 53</w:t>
      </w:r>
    </w:p>
    <w:bookmarkEnd w:id="52"/>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Степен на закрила</w:t>
      </w:r>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Никоя разпоредба на настоящата Харта не трябва да се тълкува като ограничаваща или накърняваща права на човека и основни свободи, които в съответните им приложни полета са признати от правото на Съюза, от международното право и от международните конвенции, по които Съюзът или всички държави-членки са страни и по-специално от Европейската конвенция за защита на правата на човека и основните свободи, както и от конституциите на държавите-членки.</w:t>
      </w:r>
      <w:bookmarkStart w:id="53" w:name="anArt54"/>
    </w:p>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Член 54</w:t>
      </w:r>
    </w:p>
    <w:bookmarkEnd w:id="53"/>
    <w:p w:rsidR="009D563E" w:rsidRPr="009D563E" w:rsidRDefault="009D563E" w:rsidP="009D563E">
      <w:pPr>
        <w:spacing w:after="0" w:line="240" w:lineRule="auto"/>
        <w:rPr>
          <w:rFonts w:ascii="Times New Roman" w:eastAsia="Times New Roman" w:hAnsi="Times New Roman" w:cs="Times New Roman"/>
          <w:sz w:val="20"/>
          <w:szCs w:val="20"/>
          <w:lang w:eastAsia="bg-BG"/>
        </w:rPr>
      </w:pPr>
      <w:r w:rsidRPr="009D563E">
        <w:rPr>
          <w:rFonts w:ascii="Times New Roman" w:eastAsia="Times New Roman" w:hAnsi="Times New Roman" w:cs="Times New Roman"/>
          <w:sz w:val="20"/>
          <w:szCs w:val="20"/>
          <w:lang w:eastAsia="bg-BG"/>
        </w:rPr>
        <w:t>Забрана на злоупотребата с право</w:t>
      </w:r>
    </w:p>
    <w:p w:rsidR="00F31742" w:rsidRDefault="009D563E" w:rsidP="009D563E">
      <w:pPr>
        <w:spacing w:after="0" w:line="240" w:lineRule="auto"/>
        <w:rPr>
          <w:rFonts w:ascii="Times New Roman" w:eastAsia="Times New Roman" w:hAnsi="Times New Roman" w:cs="Times New Roman"/>
          <w:sz w:val="20"/>
          <w:szCs w:val="20"/>
          <w:lang w:val="en-US" w:eastAsia="bg-BG"/>
        </w:rPr>
      </w:pPr>
      <w:r w:rsidRPr="009D563E">
        <w:rPr>
          <w:rFonts w:ascii="Times New Roman" w:eastAsia="Times New Roman" w:hAnsi="Times New Roman" w:cs="Times New Roman"/>
          <w:sz w:val="20"/>
          <w:szCs w:val="20"/>
          <w:lang w:eastAsia="bg-BG"/>
        </w:rPr>
        <w:t>Никоя от разпоредбите на настоящата Харта не трябва да се тълкува като даваща право да се извършва дейност или действие, които имат за цел погазване на признати в настоящата Харта права или свободи, или да се ограничават правата и свободите в по-голяма степен от предвидената в настоящата Харта</w:t>
      </w:r>
      <w:r>
        <w:rPr>
          <w:rFonts w:ascii="Times New Roman" w:eastAsia="Times New Roman" w:hAnsi="Times New Roman" w:cs="Times New Roman"/>
          <w:sz w:val="20"/>
          <w:szCs w:val="20"/>
          <w:lang w:val="en-US" w:eastAsia="bg-BG"/>
        </w:rPr>
        <w:t>.</w:t>
      </w:r>
    </w:p>
    <w:p w:rsidR="00051025" w:rsidRDefault="00051025" w:rsidP="009D563E">
      <w:pPr>
        <w:spacing w:after="0" w:line="240" w:lineRule="auto"/>
        <w:rPr>
          <w:rFonts w:ascii="Times New Roman" w:eastAsia="Times New Roman" w:hAnsi="Times New Roman" w:cs="Times New Roman"/>
          <w:sz w:val="20"/>
          <w:szCs w:val="20"/>
          <w:lang w:val="en-US" w:eastAsia="bg-BG"/>
        </w:rPr>
      </w:pPr>
    </w:p>
    <w:p w:rsidR="00051025" w:rsidRDefault="00051025" w:rsidP="009D563E">
      <w:pPr>
        <w:spacing w:after="0" w:line="240" w:lineRule="auto"/>
        <w:rPr>
          <w:rFonts w:ascii="Times New Roman" w:eastAsia="Times New Roman" w:hAnsi="Times New Roman" w:cs="Times New Roman"/>
          <w:sz w:val="20"/>
          <w:szCs w:val="20"/>
          <w:lang w:val="en-US" w:eastAsia="bg-BG"/>
        </w:rPr>
      </w:pPr>
    </w:p>
    <w:p w:rsidR="00051025" w:rsidRDefault="00051025" w:rsidP="009D563E">
      <w:pPr>
        <w:spacing w:after="0" w:line="240" w:lineRule="auto"/>
        <w:rPr>
          <w:rFonts w:ascii="Times New Roman" w:eastAsia="Times New Roman" w:hAnsi="Times New Roman" w:cs="Times New Roman"/>
          <w:sz w:val="20"/>
          <w:szCs w:val="20"/>
          <w:lang w:val="en-US" w:eastAsia="bg-BG"/>
        </w:rPr>
      </w:pPr>
    </w:p>
    <w:p w:rsidR="00051025" w:rsidRPr="00051025" w:rsidRDefault="00051025" w:rsidP="009D563E">
      <w:pPr>
        <w:spacing w:after="0" w:line="240" w:lineRule="auto"/>
        <w:rPr>
          <w:rFonts w:ascii="Times New Roman" w:eastAsia="Times New Roman" w:hAnsi="Times New Roman" w:cs="Times New Roman"/>
          <w:lang w:val="en-US" w:eastAsia="bg-BG"/>
        </w:rPr>
      </w:pPr>
    </w:p>
    <w:p w:rsidR="00051025" w:rsidRPr="00051025" w:rsidRDefault="00051025" w:rsidP="009D563E">
      <w:pPr>
        <w:spacing w:after="0" w:line="240" w:lineRule="auto"/>
        <w:rPr>
          <w:rFonts w:ascii="Times New Roman" w:eastAsia="Times New Roman" w:hAnsi="Times New Roman" w:cs="Times New Roman"/>
          <w:sz w:val="20"/>
          <w:szCs w:val="20"/>
          <w:lang w:val="en-US" w:eastAsia="bg-BG"/>
        </w:rPr>
      </w:pPr>
    </w:p>
    <w:p w:rsidR="00051025" w:rsidRPr="00051025" w:rsidRDefault="00051025" w:rsidP="00051025">
      <w:pPr>
        <w:ind w:firstLine="708"/>
        <w:jc w:val="both"/>
        <w:rPr>
          <w:rFonts w:ascii="Times New Roman" w:hAnsi="Times New Roman" w:cs="Times New Roman"/>
          <w:sz w:val="20"/>
          <w:szCs w:val="20"/>
        </w:rPr>
      </w:pPr>
      <w:r>
        <w:rPr>
          <w:rFonts w:ascii="Times New Roman" w:hAnsi="Times New Roman" w:cs="Times New Roman"/>
          <w:sz w:val="20"/>
          <w:szCs w:val="20"/>
        </w:rPr>
        <w:t xml:space="preserve">Като заключение: </w:t>
      </w:r>
      <w:r w:rsidRPr="00051025">
        <w:rPr>
          <w:rFonts w:ascii="Times New Roman" w:hAnsi="Times New Roman" w:cs="Times New Roman"/>
          <w:sz w:val="20"/>
          <w:szCs w:val="20"/>
        </w:rPr>
        <w:t xml:space="preserve">Тези права са универсални, неотменими и защитават всички лица, независимо от тяхното положение и юридически статут.  Ценностите, които са залегнали в основата на Хартата, са изключително важни и за социалната работа. Човешкото достойнство, правото на неприкосновеност на личността,  свобода на съвестта,  мисълта,  религията, правото на образование са едни от водещите професионални ценности в социалната работа, защото хората се раждат различни, но с равни права и те трябва да се защитават. Едни от основните цели на социалната работа са защита, подкрепа, интеграция, социално включване и други, </w:t>
      </w:r>
      <w:r>
        <w:rPr>
          <w:rFonts w:ascii="Times New Roman" w:hAnsi="Times New Roman" w:cs="Times New Roman"/>
          <w:sz w:val="20"/>
          <w:szCs w:val="20"/>
        </w:rPr>
        <w:t xml:space="preserve">чието </w:t>
      </w:r>
      <w:r w:rsidRPr="00051025">
        <w:rPr>
          <w:rFonts w:ascii="Times New Roman" w:hAnsi="Times New Roman" w:cs="Times New Roman"/>
          <w:sz w:val="20"/>
          <w:szCs w:val="20"/>
        </w:rPr>
        <w:t xml:space="preserve">качественото изпълнение е немислимо без спазването и защита правата и свободите на хората. </w:t>
      </w:r>
    </w:p>
    <w:p w:rsidR="00051025" w:rsidRPr="009D563E" w:rsidRDefault="00051025" w:rsidP="009D563E">
      <w:pPr>
        <w:spacing w:after="0" w:line="240" w:lineRule="auto"/>
        <w:rPr>
          <w:rFonts w:ascii="Times New Roman" w:hAnsi="Times New Roman" w:cs="Times New Roman"/>
          <w:sz w:val="20"/>
          <w:szCs w:val="20"/>
          <w:lang w:val="en-US"/>
        </w:rPr>
      </w:pPr>
    </w:p>
    <w:sectPr w:rsidR="00051025" w:rsidRPr="009D563E" w:rsidSect="009D563E">
      <w:pgSz w:w="11906" w:h="16838"/>
      <w:pgMar w:top="851"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savePreviewPicture/>
  <w:compat/>
  <w:rsids>
    <w:rsidRoot w:val="009D563E"/>
    <w:rsid w:val="00051025"/>
    <w:rsid w:val="009D563E"/>
    <w:rsid w:val="00CB5C6E"/>
    <w:rsid w:val="00F3174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doc">
    <w:name w:val="tidoc"/>
    <w:basedOn w:val="a"/>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semiHidden/>
    <w:unhideWhenUsed/>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grseq1ti">
    <w:name w:val="grseq1ti"/>
    <w:basedOn w:val="a"/>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vision1ti">
    <w:name w:val="division1ti"/>
    <w:basedOn w:val="a"/>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vision1sti">
    <w:name w:val="division1sti"/>
    <w:basedOn w:val="a"/>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rticleti">
    <w:name w:val="articleti"/>
    <w:basedOn w:val="a"/>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rticlesti">
    <w:name w:val="articlesti"/>
    <w:basedOn w:val="a"/>
    <w:rsid w:val="009D563E"/>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19927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3603</Words>
  <Characters>20543</Characters>
  <Application>Microsoft Office Word</Application>
  <DocSecurity>0</DocSecurity>
  <Lines>171</Lines>
  <Paragraphs>48</Paragraphs>
  <ScaleCrop>false</ScaleCrop>
  <Company/>
  <LinksUpToDate>false</LinksUpToDate>
  <CharactersWithSpaces>24098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user1900</dc:creator>
  <cp:keywords/>
  <dc:description/>
  <cp:lastModifiedBy>user1900</cp:lastModifiedBy>
  <cp:revision>3</cp:revision>
  <dcterms:created xsi:type="dcterms:W3CDTF">2013-11-13T11:25:00Z</dcterms:created>
  <dcterms:modified xsi:type="dcterms:W3CDTF">2014-01-09T12:03:00Z</dcterms:modified>
</cp:coreProperties>
</file>